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rPr>
          <w:sz w:val="22"/>
        </w:rPr>
      </w:pPr>
      <w:bookmarkStart w:id="0" w:name="_Ref494746248"/>
      <w:r>
        <w:rPr>
          <w:rFonts w:ascii="Arial" w:hAnsi="Arial" w:cs="Arial"/>
          <w:b/>
          <w:sz w:val="22"/>
        </w:rPr>
        <w:t>3GPP TSG RAN WG1 Meeting #10</w:t>
      </w:r>
      <w:r>
        <w:rPr>
          <w:rFonts w:hint="eastAsia" w:ascii="Arial" w:hAnsi="Arial" w:cs="Arial"/>
          <w:b/>
          <w:sz w:val="22"/>
        </w:rPr>
        <w:t>3</w:t>
      </w:r>
      <w:r>
        <w:rPr>
          <w:rFonts w:ascii="Arial" w:hAnsi="Arial" w:cs="Arial"/>
          <w:b/>
          <w:sz w:val="22"/>
        </w:rPr>
        <w:t>-e</w:t>
      </w:r>
      <w:r>
        <w:rPr>
          <w:rFonts w:ascii="Arial" w:hAnsi="Arial" w:cs="Arial"/>
          <w:b/>
          <w:sz w:val="22"/>
        </w:rPr>
        <w:tab/>
      </w:r>
      <w:r>
        <w:rPr>
          <w:rFonts w:hint="eastAsia" w:ascii="Arial" w:hAnsi="Arial" w:cs="Arial"/>
          <w:b/>
          <w:sz w:val="22"/>
        </w:rPr>
        <w:t>R1-2007731</w:t>
      </w:r>
    </w:p>
    <w:p>
      <w:pPr>
        <w:tabs>
          <w:tab w:val="right" w:pos="9630"/>
        </w:tabs>
        <w:rPr>
          <w:rFonts w:ascii="Arial" w:hAnsi="Arial" w:cs="Arial"/>
          <w:b/>
          <w:sz w:val="22"/>
        </w:rPr>
      </w:pPr>
      <w:r>
        <w:rPr>
          <w:rFonts w:ascii="Arial" w:hAnsi="Arial" w:cs="Arial"/>
          <w:b/>
          <w:sz w:val="22"/>
        </w:rPr>
        <w:t xml:space="preserve">e-Meeting, </w:t>
      </w:r>
      <w:r>
        <w:rPr>
          <w:rFonts w:hint="eastAsia" w:ascii="Arial" w:hAnsi="Arial" w:cs="Arial"/>
          <w:b/>
          <w:sz w:val="22"/>
        </w:rPr>
        <w:t>October 26th–November 13th</w:t>
      </w:r>
      <w:r>
        <w:rPr>
          <w:rFonts w:ascii="Arial" w:hAnsi="Arial" w:cs="Arial"/>
          <w:b/>
          <w:sz w:val="22"/>
        </w:rPr>
        <w:t>, 2020</w:t>
      </w:r>
      <w:r>
        <w:rPr>
          <w:rFonts w:ascii="Arial" w:hAnsi="Arial" w:cs="Arial"/>
          <w:b/>
          <w:sz w:val="22"/>
        </w:rPr>
        <w:tab/>
      </w:r>
    </w:p>
    <w:p>
      <w:pPr>
        <w:pStyle w:val="37"/>
        <w:jc w:val="both"/>
      </w:pPr>
    </w:p>
    <w:p>
      <w:pPr>
        <w:tabs>
          <w:tab w:val="left" w:pos="1985"/>
        </w:tabs>
        <w:rPr>
          <w:rFonts w:ascii="Arial" w:hAnsi="Arial"/>
          <w:b/>
        </w:rPr>
      </w:pPr>
      <w:r>
        <w:rPr>
          <w:rFonts w:ascii="Arial" w:hAnsi="Arial"/>
          <w:b/>
        </w:rPr>
        <w:t xml:space="preserve">Source: </w:t>
      </w:r>
      <w:r>
        <w:rPr>
          <w:rFonts w:ascii="Arial" w:hAnsi="Arial"/>
          <w:b/>
        </w:rPr>
        <w:tab/>
      </w:r>
      <w:r>
        <w:rPr>
          <w:rFonts w:ascii="Arial" w:hAnsi="Arial"/>
          <w:b/>
        </w:rPr>
        <w:t>ZTE</w:t>
      </w:r>
    </w:p>
    <w:p>
      <w:pPr>
        <w:ind w:left="1988" w:hanging="1988"/>
        <w:rPr>
          <w:rFonts w:ascii="Arial" w:hAnsi="Arial"/>
          <w:b/>
        </w:rPr>
      </w:pPr>
      <w:r>
        <w:rPr>
          <w:rFonts w:ascii="Arial" w:hAnsi="Arial"/>
          <w:b/>
        </w:rPr>
        <w:t xml:space="preserve">Title: </w:t>
      </w:r>
      <w:r>
        <w:rPr>
          <w:rFonts w:ascii="Arial" w:hAnsi="Arial"/>
          <w:b/>
        </w:rPr>
        <w:tab/>
      </w:r>
      <w:r>
        <w:rPr>
          <w:rFonts w:hint="eastAsia" w:ascii="Arial" w:hAnsi="Arial"/>
          <w:b/>
        </w:rPr>
        <w:t xml:space="preserve">Discussion on cell-grouping UE capability for synchronous NR-DC </w:t>
      </w:r>
    </w:p>
    <w:p>
      <w:pPr>
        <w:tabs>
          <w:tab w:val="left" w:pos="1985"/>
        </w:tabs>
        <w:rPr>
          <w:rFonts w:ascii="Arial" w:hAnsi="Arial"/>
          <w:b/>
        </w:rPr>
      </w:pPr>
      <w:r>
        <w:rPr>
          <w:rFonts w:ascii="Arial" w:hAnsi="Arial"/>
          <w:b/>
        </w:rPr>
        <w:t>Agenda item:</w:t>
      </w:r>
      <w:r>
        <w:rPr>
          <w:rFonts w:ascii="Arial" w:hAnsi="Arial"/>
          <w:b/>
        </w:rPr>
        <w:tab/>
      </w:r>
      <w:r>
        <w:rPr>
          <w:rFonts w:ascii="Arial" w:hAnsi="Arial"/>
          <w:b/>
        </w:rPr>
        <w:t>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ascii="Times New Roman" w:hAnsi="Times New Roman" w:cs="Times New Roman"/>
        </w:rPr>
      </w:pPr>
      <w:r>
        <w:rPr>
          <w:rFonts w:ascii="Times New Roman" w:hAnsi="Times New Roman" w:cs="Times New Roman"/>
        </w:rPr>
        <w:t>During RAN2#111e meeting, an LS on cell-grouping UE capability for synchronous NR-DC was sent from RAN2 to RAN1 and RAN4. The LS asked RAN1 and RAN4 to review the views expressed in RAN2 on cell grouping UE capability signaling for synchronous NR-DC and provide their view on the need of cell grouping UE capability signaling, including the need of differentiation between MCG and SCG.</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In this contribution, we provide our analysis on cell-grouping UE capability for synchronous NR-DC.</w:t>
      </w:r>
    </w:p>
    <w:p>
      <w:pPr>
        <w:pStyle w:val="2"/>
        <w:rPr>
          <w:lang w:eastAsia="zh-CN"/>
        </w:rPr>
      </w:pPr>
      <w:r>
        <w:rPr>
          <w:lang w:eastAsia="zh-CN"/>
        </w:rPr>
        <w:t>Discussion</w:t>
      </w:r>
    </w:p>
    <w:p>
      <w:pPr>
        <w:rPr>
          <w:rFonts w:ascii="Times New Roman" w:hAnsi="Times New Roman" w:cs="Times New Roman"/>
          <w:iCs/>
        </w:rPr>
      </w:pPr>
      <w:r>
        <w:rPr>
          <w:rFonts w:ascii="Times New Roman" w:hAnsi="Times New Roman" w:cs="Times New Roman"/>
          <w:iCs/>
        </w:rPr>
        <w:t>Based on TS38.306, RAN2 has already included UE capabilities (copied below) to report the supported sPCell+SCell CA combinations from TDD/FDD and FR1/FR2 perspective. With the following UE capabilities, UE is allowed to report whether it supports to put sPCell in FR1 FDD band, FR1 TDD band or FR2 TDD band in different cases.</w:t>
      </w:r>
    </w:p>
    <w:p>
      <w:pPr>
        <w:rPr>
          <w:rFonts w:ascii="Times New Roman" w:hAnsi="Times New Roman" w:cs="Times New Roman"/>
          <w:iCs/>
        </w:rPr>
      </w:pPr>
    </w:p>
    <w:tbl>
      <w:tblPr>
        <w:tblStyle w:val="50"/>
        <w:tblW w:w="9639"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46"/>
        <w:gridCol w:w="709"/>
        <w:gridCol w:w="567"/>
        <w:gridCol w:w="709"/>
        <w:gridCol w:w="70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3"/>
            </w:pPr>
            <w:r>
              <w:t>Definitions for parameters</w:t>
            </w:r>
          </w:p>
        </w:tc>
        <w:tc>
          <w:tcPr>
            <w:tcW w:w="709" w:type="dxa"/>
          </w:tcPr>
          <w:p>
            <w:pPr>
              <w:pStyle w:val="63"/>
            </w:pPr>
            <w:r>
              <w:t>Per</w:t>
            </w:r>
          </w:p>
        </w:tc>
        <w:tc>
          <w:tcPr>
            <w:tcW w:w="567" w:type="dxa"/>
          </w:tcPr>
          <w:p>
            <w:pPr>
              <w:pStyle w:val="63"/>
            </w:pPr>
            <w:r>
              <w:t>M</w:t>
            </w:r>
          </w:p>
        </w:tc>
        <w:tc>
          <w:tcPr>
            <w:tcW w:w="709" w:type="dxa"/>
          </w:tcPr>
          <w:p>
            <w:pPr>
              <w:pStyle w:val="63"/>
            </w:pPr>
            <w:r>
              <w:t>FDD-TDD</w:t>
            </w:r>
          </w:p>
          <w:p>
            <w:pPr>
              <w:pStyle w:val="63"/>
            </w:pPr>
            <w:r>
              <w:t>DIFF</w:t>
            </w:r>
          </w:p>
        </w:tc>
        <w:tc>
          <w:tcPr>
            <w:tcW w:w="708" w:type="dxa"/>
          </w:tcPr>
          <w:p>
            <w:pPr>
              <w:pStyle w:val="63"/>
            </w:pPr>
            <w:r>
              <w:t>FR1-FR2</w:t>
            </w:r>
          </w:p>
          <w:p>
            <w:pPr>
              <w:pStyle w:val="63"/>
            </w:pPr>
            <w: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5"/>
              <w:rPr>
                <w:b/>
                <w:bCs/>
                <w:i/>
                <w:iCs/>
                <w:lang w:eastAsia="fr-FR"/>
              </w:rPr>
            </w:pPr>
            <w:r>
              <w:rPr>
                <w:b/>
                <w:bCs/>
                <w:i/>
                <w:iCs/>
                <w:lang w:eastAsia="fr-FR"/>
              </w:rPr>
              <w:t>fr1fdd-FR1TDD-CA-SpCellOnFR1FDD</w:t>
            </w:r>
          </w:p>
          <w:p>
            <w:pPr>
              <w:pStyle w:val="65"/>
              <w:rPr>
                <w:bCs/>
                <w:iCs/>
              </w:rPr>
            </w:pPr>
            <w:r>
              <w:t>Indicates whether the UE supports an FR1 FDD SpCell (and possibly SCells) when configured with an FR1 TDD SCell.</w:t>
            </w:r>
          </w:p>
        </w:tc>
        <w:tc>
          <w:tcPr>
            <w:tcW w:w="709" w:type="dxa"/>
          </w:tcPr>
          <w:p>
            <w:pPr>
              <w:pStyle w:val="65"/>
              <w:jc w:val="center"/>
              <w:rPr>
                <w:bCs/>
                <w:iCs/>
              </w:rPr>
            </w:pPr>
            <w:r>
              <w:rPr>
                <w:lang w:eastAsia="fr-FR"/>
              </w:rPr>
              <w:t>UE</w:t>
            </w:r>
          </w:p>
        </w:tc>
        <w:tc>
          <w:tcPr>
            <w:tcW w:w="567" w:type="dxa"/>
          </w:tcPr>
          <w:p>
            <w:pPr>
              <w:pStyle w:val="65"/>
              <w:jc w:val="center"/>
              <w:rPr>
                <w:bCs/>
                <w:iCs/>
              </w:rPr>
            </w:pPr>
            <w:r>
              <w:rPr>
                <w:lang w:eastAsia="fr-FR"/>
              </w:rPr>
              <w:t>No</w:t>
            </w:r>
          </w:p>
        </w:tc>
        <w:tc>
          <w:tcPr>
            <w:tcW w:w="709" w:type="dxa"/>
          </w:tcPr>
          <w:p>
            <w:pPr>
              <w:pStyle w:val="65"/>
              <w:jc w:val="center"/>
              <w:rPr>
                <w:bCs/>
                <w:iCs/>
              </w:rPr>
            </w:pPr>
            <w:r>
              <w:rPr>
                <w:lang w:eastAsia="fr-FR"/>
              </w:rPr>
              <w:t>No</w:t>
            </w:r>
          </w:p>
        </w:tc>
        <w:tc>
          <w:tcPr>
            <w:tcW w:w="708" w:type="dxa"/>
          </w:tcPr>
          <w:p>
            <w:pPr>
              <w:pStyle w:val="65"/>
              <w:jc w:val="center"/>
            </w:pPr>
            <w:r>
              <w:rPr>
                <w:lang w:eastAsia="fr-FR"/>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5"/>
              <w:rPr>
                <w:b/>
                <w:bCs/>
                <w:i/>
                <w:iCs/>
                <w:lang w:eastAsia="fr-FR"/>
              </w:rPr>
            </w:pPr>
            <w:r>
              <w:rPr>
                <w:b/>
                <w:bCs/>
                <w:i/>
                <w:iCs/>
                <w:lang w:eastAsia="fr-FR"/>
              </w:rPr>
              <w:t>fr1fdd-FR1TDD-CA-SpCellOnFR1TDD</w:t>
            </w:r>
          </w:p>
          <w:p>
            <w:pPr>
              <w:pStyle w:val="65"/>
              <w:rPr>
                <w:bCs/>
                <w:iCs/>
              </w:rPr>
            </w:pPr>
            <w:r>
              <w:t>Indicates whether the UE supports an FR1 TDD SpCell (and possibly SCells) when configured with an FR1 FDD SCell.</w:t>
            </w:r>
          </w:p>
        </w:tc>
        <w:tc>
          <w:tcPr>
            <w:tcW w:w="709" w:type="dxa"/>
          </w:tcPr>
          <w:p>
            <w:pPr>
              <w:pStyle w:val="65"/>
              <w:jc w:val="center"/>
              <w:rPr>
                <w:bCs/>
                <w:iCs/>
              </w:rPr>
            </w:pPr>
            <w:r>
              <w:rPr>
                <w:lang w:eastAsia="fr-FR"/>
              </w:rPr>
              <w:t>UE</w:t>
            </w:r>
          </w:p>
        </w:tc>
        <w:tc>
          <w:tcPr>
            <w:tcW w:w="567" w:type="dxa"/>
          </w:tcPr>
          <w:p>
            <w:pPr>
              <w:pStyle w:val="65"/>
              <w:jc w:val="center"/>
              <w:rPr>
                <w:bCs/>
                <w:iCs/>
              </w:rPr>
            </w:pPr>
            <w:r>
              <w:rPr>
                <w:lang w:eastAsia="fr-FR"/>
              </w:rPr>
              <w:t>No</w:t>
            </w:r>
          </w:p>
        </w:tc>
        <w:tc>
          <w:tcPr>
            <w:tcW w:w="709" w:type="dxa"/>
          </w:tcPr>
          <w:p>
            <w:pPr>
              <w:pStyle w:val="65"/>
              <w:jc w:val="center"/>
              <w:rPr>
                <w:bCs/>
                <w:iCs/>
              </w:rPr>
            </w:pPr>
            <w:r>
              <w:rPr>
                <w:lang w:eastAsia="fr-FR"/>
              </w:rPr>
              <w:t>No</w:t>
            </w:r>
          </w:p>
        </w:tc>
        <w:tc>
          <w:tcPr>
            <w:tcW w:w="708" w:type="dxa"/>
          </w:tcPr>
          <w:p>
            <w:pPr>
              <w:pStyle w:val="65"/>
              <w:jc w:val="center"/>
            </w:pPr>
            <w:r>
              <w:rPr>
                <w:lang w:eastAsia="fr-FR"/>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5"/>
              <w:rPr>
                <w:b/>
                <w:bCs/>
                <w:i/>
                <w:iCs/>
                <w:lang w:eastAsia="fr-FR"/>
              </w:rPr>
            </w:pPr>
            <w:r>
              <w:rPr>
                <w:b/>
                <w:bCs/>
                <w:i/>
                <w:iCs/>
                <w:lang w:eastAsia="fr-FR"/>
              </w:rPr>
              <w:t>fr1fdd-FR1TDD-FR2TDD-CA-SpCellOnFR1FDD</w:t>
            </w:r>
          </w:p>
          <w:p>
            <w:pPr>
              <w:pStyle w:val="65"/>
              <w:rPr>
                <w:bCs/>
                <w:iCs/>
              </w:rPr>
            </w:pPr>
            <w:r>
              <w:t>Indicates whether the UE supports an FR1 FDD SpCell (and possibly SCells) when configured with an FR1 TDD SCell and an FR2 TDD SCell.</w:t>
            </w:r>
          </w:p>
        </w:tc>
        <w:tc>
          <w:tcPr>
            <w:tcW w:w="709" w:type="dxa"/>
          </w:tcPr>
          <w:p>
            <w:pPr>
              <w:pStyle w:val="65"/>
              <w:jc w:val="center"/>
              <w:rPr>
                <w:bCs/>
                <w:iCs/>
              </w:rPr>
            </w:pPr>
            <w:r>
              <w:rPr>
                <w:lang w:eastAsia="fr-FR"/>
              </w:rPr>
              <w:t>UE</w:t>
            </w:r>
          </w:p>
        </w:tc>
        <w:tc>
          <w:tcPr>
            <w:tcW w:w="567" w:type="dxa"/>
          </w:tcPr>
          <w:p>
            <w:pPr>
              <w:pStyle w:val="65"/>
              <w:jc w:val="center"/>
              <w:rPr>
                <w:bCs/>
                <w:iCs/>
              </w:rPr>
            </w:pPr>
            <w:r>
              <w:rPr>
                <w:lang w:eastAsia="fr-FR"/>
              </w:rPr>
              <w:t>No</w:t>
            </w:r>
          </w:p>
        </w:tc>
        <w:tc>
          <w:tcPr>
            <w:tcW w:w="709" w:type="dxa"/>
          </w:tcPr>
          <w:p>
            <w:pPr>
              <w:pStyle w:val="65"/>
              <w:jc w:val="center"/>
              <w:rPr>
                <w:bCs/>
                <w:iCs/>
              </w:rPr>
            </w:pPr>
            <w:r>
              <w:rPr>
                <w:lang w:eastAsia="fr-FR"/>
              </w:rPr>
              <w:t>No</w:t>
            </w:r>
          </w:p>
        </w:tc>
        <w:tc>
          <w:tcPr>
            <w:tcW w:w="708" w:type="dxa"/>
          </w:tcPr>
          <w:p>
            <w:pPr>
              <w:pStyle w:val="65"/>
              <w:jc w:val="center"/>
            </w:pPr>
            <w:r>
              <w:rPr>
                <w:lang w:eastAsia="fr-FR"/>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5"/>
              <w:rPr>
                <w:b/>
                <w:bCs/>
                <w:i/>
                <w:iCs/>
              </w:rPr>
            </w:pPr>
            <w:r>
              <w:rPr>
                <w:b/>
                <w:bCs/>
                <w:i/>
                <w:iCs/>
              </w:rPr>
              <w:t>fr1fdd-FR1TDD-FR2TDD-CA-SpCellOnFR1TDD</w:t>
            </w:r>
          </w:p>
          <w:p>
            <w:pPr>
              <w:pStyle w:val="65"/>
              <w:rPr>
                <w:bCs/>
                <w:iCs/>
              </w:rPr>
            </w:pPr>
            <w:r>
              <w:t>Indicates whether the UE supports an FR1 TDD SpCell (and possibly SCells) when configured with an FR1 FDD SCell and an FR2 TDD SCell.</w:t>
            </w:r>
          </w:p>
        </w:tc>
        <w:tc>
          <w:tcPr>
            <w:tcW w:w="709" w:type="dxa"/>
          </w:tcPr>
          <w:p>
            <w:pPr>
              <w:pStyle w:val="65"/>
              <w:jc w:val="center"/>
              <w:rPr>
                <w:bCs/>
                <w:iCs/>
              </w:rPr>
            </w:pPr>
            <w:r>
              <w:rPr>
                <w:lang w:eastAsia="fr-FR"/>
              </w:rPr>
              <w:t>UE</w:t>
            </w:r>
          </w:p>
        </w:tc>
        <w:tc>
          <w:tcPr>
            <w:tcW w:w="567" w:type="dxa"/>
          </w:tcPr>
          <w:p>
            <w:pPr>
              <w:pStyle w:val="65"/>
              <w:jc w:val="center"/>
              <w:rPr>
                <w:bCs/>
                <w:iCs/>
              </w:rPr>
            </w:pPr>
            <w:r>
              <w:rPr>
                <w:lang w:eastAsia="fr-FR"/>
              </w:rPr>
              <w:t>No</w:t>
            </w:r>
          </w:p>
        </w:tc>
        <w:tc>
          <w:tcPr>
            <w:tcW w:w="709" w:type="dxa"/>
          </w:tcPr>
          <w:p>
            <w:pPr>
              <w:pStyle w:val="65"/>
              <w:jc w:val="center"/>
              <w:rPr>
                <w:bCs/>
                <w:iCs/>
              </w:rPr>
            </w:pPr>
            <w:r>
              <w:rPr>
                <w:lang w:eastAsia="fr-FR"/>
              </w:rPr>
              <w:t>No</w:t>
            </w:r>
          </w:p>
        </w:tc>
        <w:tc>
          <w:tcPr>
            <w:tcW w:w="708" w:type="dxa"/>
          </w:tcPr>
          <w:p>
            <w:pPr>
              <w:pStyle w:val="65"/>
              <w:jc w:val="center"/>
            </w:pPr>
            <w:r>
              <w:rPr>
                <w:lang w:eastAsia="fr-FR"/>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5"/>
              <w:rPr>
                <w:b/>
                <w:bCs/>
                <w:i/>
                <w:iCs/>
              </w:rPr>
            </w:pPr>
            <w:r>
              <w:rPr>
                <w:b/>
                <w:bCs/>
                <w:i/>
                <w:iCs/>
              </w:rPr>
              <w:t>fr1fdd-FR1TDD-FR2TDD-CA-SpCellOnFR2TDD</w:t>
            </w:r>
          </w:p>
          <w:p>
            <w:pPr>
              <w:pStyle w:val="65"/>
              <w:rPr>
                <w:bCs/>
                <w:iCs/>
              </w:rPr>
            </w:pPr>
            <w:r>
              <w:t>Indicates whether the UE supports an FR2 TDD SpCell (and possibly SCells) when configured with an FR1 FDD SCell and an FR1 TDD SCell.</w:t>
            </w:r>
          </w:p>
        </w:tc>
        <w:tc>
          <w:tcPr>
            <w:tcW w:w="709" w:type="dxa"/>
          </w:tcPr>
          <w:p>
            <w:pPr>
              <w:pStyle w:val="65"/>
              <w:jc w:val="center"/>
              <w:rPr>
                <w:bCs/>
                <w:iCs/>
              </w:rPr>
            </w:pPr>
            <w:r>
              <w:rPr>
                <w:lang w:eastAsia="fr-FR"/>
              </w:rPr>
              <w:t>UE</w:t>
            </w:r>
          </w:p>
        </w:tc>
        <w:tc>
          <w:tcPr>
            <w:tcW w:w="567" w:type="dxa"/>
          </w:tcPr>
          <w:p>
            <w:pPr>
              <w:pStyle w:val="65"/>
              <w:jc w:val="center"/>
              <w:rPr>
                <w:bCs/>
                <w:iCs/>
              </w:rPr>
            </w:pPr>
            <w:r>
              <w:rPr>
                <w:lang w:eastAsia="fr-FR"/>
              </w:rPr>
              <w:t>No</w:t>
            </w:r>
          </w:p>
        </w:tc>
        <w:tc>
          <w:tcPr>
            <w:tcW w:w="709" w:type="dxa"/>
          </w:tcPr>
          <w:p>
            <w:pPr>
              <w:pStyle w:val="65"/>
              <w:jc w:val="center"/>
              <w:rPr>
                <w:bCs/>
                <w:iCs/>
              </w:rPr>
            </w:pPr>
            <w:r>
              <w:rPr>
                <w:lang w:eastAsia="fr-FR"/>
              </w:rPr>
              <w:t>No</w:t>
            </w:r>
          </w:p>
        </w:tc>
        <w:tc>
          <w:tcPr>
            <w:tcW w:w="708" w:type="dxa"/>
          </w:tcPr>
          <w:p>
            <w:pPr>
              <w:pStyle w:val="65"/>
              <w:jc w:val="center"/>
            </w:pPr>
            <w:r>
              <w:rPr>
                <w:lang w:eastAsia="fr-FR"/>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5"/>
              <w:rPr>
                <w:b/>
                <w:bCs/>
                <w:i/>
                <w:iCs/>
              </w:rPr>
            </w:pPr>
            <w:r>
              <w:rPr>
                <w:b/>
                <w:bCs/>
                <w:i/>
                <w:iCs/>
              </w:rPr>
              <w:t>fr1fdd-FR2TDD-CA-SpCellOnFR1FDD</w:t>
            </w:r>
          </w:p>
          <w:p>
            <w:pPr>
              <w:pStyle w:val="65"/>
              <w:rPr>
                <w:bCs/>
                <w:iCs/>
              </w:rPr>
            </w:pPr>
            <w:r>
              <w:t>Indicates whether the UE supports an FR1 FDD SpCell (and possibly SCells) when configured with an FR2 TDD SCell.</w:t>
            </w:r>
          </w:p>
        </w:tc>
        <w:tc>
          <w:tcPr>
            <w:tcW w:w="709" w:type="dxa"/>
          </w:tcPr>
          <w:p>
            <w:pPr>
              <w:pStyle w:val="65"/>
              <w:jc w:val="center"/>
              <w:rPr>
                <w:bCs/>
                <w:iCs/>
              </w:rPr>
            </w:pPr>
            <w:r>
              <w:rPr>
                <w:lang w:eastAsia="fr-FR"/>
              </w:rPr>
              <w:t>UE</w:t>
            </w:r>
          </w:p>
        </w:tc>
        <w:tc>
          <w:tcPr>
            <w:tcW w:w="567" w:type="dxa"/>
          </w:tcPr>
          <w:p>
            <w:pPr>
              <w:pStyle w:val="65"/>
              <w:jc w:val="center"/>
              <w:rPr>
                <w:bCs/>
                <w:iCs/>
              </w:rPr>
            </w:pPr>
            <w:r>
              <w:rPr>
                <w:lang w:eastAsia="fr-FR"/>
              </w:rPr>
              <w:t>No</w:t>
            </w:r>
          </w:p>
        </w:tc>
        <w:tc>
          <w:tcPr>
            <w:tcW w:w="709" w:type="dxa"/>
          </w:tcPr>
          <w:p>
            <w:pPr>
              <w:pStyle w:val="65"/>
              <w:jc w:val="center"/>
              <w:rPr>
                <w:bCs/>
                <w:iCs/>
              </w:rPr>
            </w:pPr>
            <w:r>
              <w:rPr>
                <w:lang w:eastAsia="fr-FR"/>
              </w:rPr>
              <w:t>No</w:t>
            </w:r>
          </w:p>
        </w:tc>
        <w:tc>
          <w:tcPr>
            <w:tcW w:w="708" w:type="dxa"/>
          </w:tcPr>
          <w:p>
            <w:pPr>
              <w:pStyle w:val="65"/>
              <w:jc w:val="center"/>
            </w:pPr>
            <w:r>
              <w:rPr>
                <w:lang w:eastAsia="fr-FR"/>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5"/>
              <w:rPr>
                <w:b/>
                <w:bCs/>
                <w:i/>
                <w:iCs/>
              </w:rPr>
            </w:pPr>
            <w:r>
              <w:rPr>
                <w:b/>
                <w:bCs/>
                <w:i/>
                <w:iCs/>
              </w:rPr>
              <w:t>fr1fdd-FR2TDD-CA-SpCellOnFR2TDD</w:t>
            </w:r>
          </w:p>
          <w:p>
            <w:pPr>
              <w:pStyle w:val="65"/>
              <w:rPr>
                <w:bCs/>
                <w:iCs/>
              </w:rPr>
            </w:pPr>
            <w:r>
              <w:t>Indicates whether the UE supports an FR2 TDD SpCell (and possibly SCells) when configured with an FR1 FDD SCell.</w:t>
            </w:r>
          </w:p>
        </w:tc>
        <w:tc>
          <w:tcPr>
            <w:tcW w:w="709" w:type="dxa"/>
          </w:tcPr>
          <w:p>
            <w:pPr>
              <w:pStyle w:val="65"/>
              <w:jc w:val="center"/>
              <w:rPr>
                <w:bCs/>
                <w:iCs/>
              </w:rPr>
            </w:pPr>
            <w:r>
              <w:rPr>
                <w:lang w:eastAsia="fr-FR"/>
              </w:rPr>
              <w:t>UE</w:t>
            </w:r>
          </w:p>
        </w:tc>
        <w:tc>
          <w:tcPr>
            <w:tcW w:w="567" w:type="dxa"/>
          </w:tcPr>
          <w:p>
            <w:pPr>
              <w:pStyle w:val="65"/>
              <w:jc w:val="center"/>
              <w:rPr>
                <w:bCs/>
                <w:iCs/>
              </w:rPr>
            </w:pPr>
            <w:r>
              <w:rPr>
                <w:lang w:eastAsia="fr-FR"/>
              </w:rPr>
              <w:t>No</w:t>
            </w:r>
          </w:p>
        </w:tc>
        <w:tc>
          <w:tcPr>
            <w:tcW w:w="709" w:type="dxa"/>
          </w:tcPr>
          <w:p>
            <w:pPr>
              <w:pStyle w:val="65"/>
              <w:jc w:val="center"/>
              <w:rPr>
                <w:bCs/>
                <w:iCs/>
              </w:rPr>
            </w:pPr>
            <w:r>
              <w:rPr>
                <w:lang w:eastAsia="fr-FR"/>
              </w:rPr>
              <w:t>No</w:t>
            </w:r>
          </w:p>
        </w:tc>
        <w:tc>
          <w:tcPr>
            <w:tcW w:w="708" w:type="dxa"/>
          </w:tcPr>
          <w:p>
            <w:pPr>
              <w:pStyle w:val="65"/>
              <w:jc w:val="center"/>
            </w:pPr>
            <w:r>
              <w:rPr>
                <w:lang w:eastAsia="fr-FR"/>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5"/>
              <w:rPr>
                <w:b/>
                <w:bCs/>
                <w:i/>
                <w:iCs/>
              </w:rPr>
            </w:pPr>
            <w:r>
              <w:rPr>
                <w:b/>
                <w:bCs/>
                <w:i/>
                <w:iCs/>
              </w:rPr>
              <w:t>fr1tdd-FR2TDD-CA-SpCellOnFR1TDD</w:t>
            </w:r>
          </w:p>
          <w:p>
            <w:pPr>
              <w:pStyle w:val="65"/>
              <w:rPr>
                <w:bCs/>
                <w:iCs/>
              </w:rPr>
            </w:pPr>
            <w:r>
              <w:t>Indicates whether the UE supports an FR1 TDD SpCell (and possibly SCells) when configured with an FR2 TDD SCell.</w:t>
            </w:r>
          </w:p>
        </w:tc>
        <w:tc>
          <w:tcPr>
            <w:tcW w:w="709" w:type="dxa"/>
          </w:tcPr>
          <w:p>
            <w:pPr>
              <w:pStyle w:val="65"/>
              <w:jc w:val="center"/>
              <w:rPr>
                <w:bCs/>
                <w:iCs/>
              </w:rPr>
            </w:pPr>
            <w:r>
              <w:rPr>
                <w:lang w:eastAsia="fr-FR"/>
              </w:rPr>
              <w:t>UE</w:t>
            </w:r>
          </w:p>
        </w:tc>
        <w:tc>
          <w:tcPr>
            <w:tcW w:w="567" w:type="dxa"/>
          </w:tcPr>
          <w:p>
            <w:pPr>
              <w:pStyle w:val="65"/>
              <w:jc w:val="center"/>
              <w:rPr>
                <w:bCs/>
                <w:iCs/>
              </w:rPr>
            </w:pPr>
            <w:r>
              <w:rPr>
                <w:lang w:eastAsia="fr-FR"/>
              </w:rPr>
              <w:t>No</w:t>
            </w:r>
          </w:p>
        </w:tc>
        <w:tc>
          <w:tcPr>
            <w:tcW w:w="709" w:type="dxa"/>
          </w:tcPr>
          <w:p>
            <w:pPr>
              <w:pStyle w:val="65"/>
              <w:jc w:val="center"/>
              <w:rPr>
                <w:bCs/>
                <w:iCs/>
              </w:rPr>
            </w:pPr>
            <w:r>
              <w:rPr>
                <w:lang w:eastAsia="fr-FR"/>
              </w:rPr>
              <w:t>No</w:t>
            </w:r>
          </w:p>
        </w:tc>
        <w:tc>
          <w:tcPr>
            <w:tcW w:w="708" w:type="dxa"/>
          </w:tcPr>
          <w:p>
            <w:pPr>
              <w:pStyle w:val="65"/>
              <w:jc w:val="center"/>
            </w:pPr>
            <w:r>
              <w:rPr>
                <w:lang w:eastAsia="fr-FR"/>
              </w:rPr>
              <w:t>No</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46" w:type="dxa"/>
          </w:tcPr>
          <w:p>
            <w:pPr>
              <w:pStyle w:val="65"/>
              <w:rPr>
                <w:b/>
                <w:bCs/>
                <w:i/>
                <w:iCs/>
              </w:rPr>
            </w:pPr>
            <w:r>
              <w:rPr>
                <w:b/>
                <w:bCs/>
                <w:i/>
                <w:iCs/>
              </w:rPr>
              <w:t>fr1tdd-FR2TDD-CA-SpCellOnFR2TDD</w:t>
            </w:r>
          </w:p>
          <w:p>
            <w:pPr>
              <w:pStyle w:val="65"/>
              <w:rPr>
                <w:bCs/>
                <w:iCs/>
              </w:rPr>
            </w:pPr>
            <w:r>
              <w:t>Indicates whether the UE supports an FR2 TDD SpCell (and possibly SCells) when configured with an FR1 TDD SCell.</w:t>
            </w:r>
          </w:p>
        </w:tc>
        <w:tc>
          <w:tcPr>
            <w:tcW w:w="709" w:type="dxa"/>
          </w:tcPr>
          <w:p>
            <w:pPr>
              <w:pStyle w:val="65"/>
              <w:jc w:val="center"/>
              <w:rPr>
                <w:bCs/>
                <w:iCs/>
              </w:rPr>
            </w:pPr>
            <w:r>
              <w:rPr>
                <w:lang w:eastAsia="fr-FR"/>
              </w:rPr>
              <w:t>UE</w:t>
            </w:r>
          </w:p>
        </w:tc>
        <w:tc>
          <w:tcPr>
            <w:tcW w:w="567" w:type="dxa"/>
          </w:tcPr>
          <w:p>
            <w:pPr>
              <w:pStyle w:val="65"/>
              <w:jc w:val="center"/>
              <w:rPr>
                <w:bCs/>
                <w:iCs/>
              </w:rPr>
            </w:pPr>
            <w:r>
              <w:rPr>
                <w:lang w:eastAsia="fr-FR"/>
              </w:rPr>
              <w:t>No</w:t>
            </w:r>
          </w:p>
        </w:tc>
        <w:tc>
          <w:tcPr>
            <w:tcW w:w="709" w:type="dxa"/>
          </w:tcPr>
          <w:p>
            <w:pPr>
              <w:pStyle w:val="65"/>
              <w:jc w:val="center"/>
              <w:rPr>
                <w:bCs/>
                <w:iCs/>
              </w:rPr>
            </w:pPr>
            <w:r>
              <w:rPr>
                <w:lang w:eastAsia="fr-FR"/>
              </w:rPr>
              <w:t>No</w:t>
            </w:r>
          </w:p>
        </w:tc>
        <w:tc>
          <w:tcPr>
            <w:tcW w:w="708" w:type="dxa"/>
          </w:tcPr>
          <w:p>
            <w:pPr>
              <w:pStyle w:val="65"/>
              <w:jc w:val="center"/>
            </w:pPr>
            <w:r>
              <w:rPr>
                <w:lang w:eastAsia="fr-FR"/>
              </w:rPr>
              <w:t>No</w:t>
            </w:r>
          </w:p>
        </w:tc>
      </w:tr>
    </w:tbl>
    <w:p>
      <w:pPr>
        <w:rPr>
          <w:iCs/>
        </w:rPr>
      </w:pPr>
    </w:p>
    <w:p>
      <w:pPr>
        <w:rPr>
          <w:rFonts w:hint="default" w:ascii="Times New Roman" w:hAnsi="Times New Roman" w:cs="Times New Roman"/>
          <w:iCs/>
          <w:lang w:val="en-US" w:eastAsia="zh-CN"/>
        </w:rPr>
      </w:pPr>
      <w:r>
        <w:rPr>
          <w:rFonts w:hint="eastAsia" w:ascii="Times New Roman" w:hAnsi="Times New Roman" w:cs="Times New Roman"/>
          <w:iCs/>
          <w:lang w:val="en-US" w:eastAsia="zh-CN"/>
        </w:rPr>
        <w:t xml:space="preserve">Furthermore, RAN2 has already defined a UE capability (i.e., </w:t>
      </w:r>
      <w:r>
        <w:rPr>
          <w:rFonts w:hint="eastAsia" w:ascii="Times New Roman" w:hAnsi="Times New Roman" w:cs="Times New Roman"/>
          <w:i/>
          <w:iCs w:val="0"/>
          <w:lang w:val="en-US" w:eastAsia="zh-CN"/>
        </w:rPr>
        <w:t>pCell-FR2</w:t>
      </w:r>
      <w:r>
        <w:rPr>
          <w:rFonts w:hint="eastAsia" w:ascii="Times New Roman" w:hAnsi="Times New Roman" w:cs="Times New Roman"/>
          <w:iCs/>
          <w:lang w:val="en-US" w:eastAsia="zh-CN"/>
        </w:rPr>
        <w:t xml:space="preserve">) to indicate whether the UE supports PCell operation on FR2. </w:t>
      </w:r>
    </w:p>
    <w:p>
      <w:pPr>
        <w:rPr>
          <w:rFonts w:hint="eastAsia" w:ascii="Times New Roman" w:hAnsi="Times New Roman" w:cs="Times New Roman"/>
          <w:iCs/>
          <w:lang w:val="en-US" w:eastAsia="zh-CN"/>
        </w:rPr>
      </w:pPr>
    </w:p>
    <w:tbl>
      <w:tblPr>
        <w:tblStyle w:val="5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5"/>
              <w:rPr>
                <w:rFonts w:eastAsia="Yu Mincho"/>
                <w:b/>
                <w:i/>
              </w:rPr>
            </w:pPr>
            <w:r>
              <w:rPr>
                <w:rFonts w:eastAsia="Yu Mincho"/>
                <w:b/>
                <w:i/>
              </w:rPr>
              <w:t>pCell-FR2</w:t>
            </w:r>
          </w:p>
          <w:p>
            <w:pPr>
              <w:pStyle w:val="65"/>
              <w:rPr>
                <w:b/>
                <w:i/>
              </w:rPr>
            </w:pPr>
            <w:r>
              <w:rPr>
                <w:rFonts w:eastAsia="Yu Mincho"/>
              </w:rPr>
              <w:t>Indicates whether the UE supports PCell operation on FR2.</w:t>
            </w:r>
          </w:p>
        </w:tc>
        <w:tc>
          <w:tcPr>
            <w:tcW w:w="709" w:type="dxa"/>
          </w:tcPr>
          <w:p>
            <w:pPr>
              <w:pStyle w:val="65"/>
              <w:jc w:val="center"/>
            </w:pPr>
            <w:r>
              <w:t>UE</w:t>
            </w:r>
          </w:p>
        </w:tc>
        <w:tc>
          <w:tcPr>
            <w:tcW w:w="567" w:type="dxa"/>
          </w:tcPr>
          <w:p>
            <w:pPr>
              <w:pStyle w:val="65"/>
              <w:jc w:val="center"/>
              <w:rPr>
                <w:rFonts w:eastAsia="Yu Mincho"/>
              </w:rPr>
            </w:pPr>
            <w:r>
              <w:rPr>
                <w:rFonts w:eastAsia="Yu Mincho"/>
              </w:rPr>
              <w:t>Yes</w:t>
            </w:r>
          </w:p>
        </w:tc>
        <w:tc>
          <w:tcPr>
            <w:tcW w:w="709" w:type="dxa"/>
          </w:tcPr>
          <w:p>
            <w:pPr>
              <w:pStyle w:val="65"/>
              <w:jc w:val="center"/>
              <w:rPr>
                <w:rFonts w:eastAsia="Yu Mincho"/>
              </w:rPr>
            </w:pPr>
            <w:r>
              <w:rPr>
                <w:rFonts w:eastAsia="Yu Mincho"/>
              </w:rPr>
              <w:t>No</w:t>
            </w:r>
          </w:p>
        </w:tc>
        <w:tc>
          <w:tcPr>
            <w:tcW w:w="728" w:type="dxa"/>
          </w:tcPr>
          <w:p>
            <w:pPr>
              <w:pStyle w:val="65"/>
              <w:jc w:val="center"/>
              <w:rPr>
                <w:rFonts w:eastAsia="Yu Mincho"/>
              </w:rPr>
            </w:pPr>
            <w:r>
              <w:rPr>
                <w:rFonts w:eastAsia="Yu Mincho"/>
              </w:rPr>
              <w:t>FR2 only</w:t>
            </w:r>
          </w:p>
        </w:tc>
      </w:tr>
    </w:tbl>
    <w:p>
      <w:pPr>
        <w:rPr>
          <w:rFonts w:hint="eastAsia" w:ascii="Times New Roman" w:hAnsi="Times New Roman" w:cs="Times New Roman"/>
          <w:iCs/>
          <w:lang w:val="en-US" w:eastAsia="zh-CN"/>
        </w:rPr>
      </w:pPr>
    </w:p>
    <w:p>
      <w:pPr>
        <w:rPr>
          <w:rFonts w:hint="default" w:ascii="Times New Roman" w:hAnsi="Times New Roman" w:cs="Times New Roman"/>
          <w:iCs/>
          <w:lang w:val="en-US" w:eastAsia="zh-CN"/>
        </w:rPr>
      </w:pPr>
    </w:p>
    <w:p>
      <w:pPr>
        <w:rPr>
          <w:rFonts w:ascii="Times New Roman" w:hAnsi="Times New Roman" w:cs="Times New Roman"/>
          <w:iCs/>
        </w:rPr>
      </w:pPr>
      <w:r>
        <w:rPr>
          <w:rFonts w:ascii="Times New Roman" w:hAnsi="Times New Roman" w:cs="Times New Roman"/>
          <w:iCs/>
        </w:rPr>
        <w:t>Regarding NR-DC, RAN2 has made the following agreements on cell-grouping for MCG and SCG. RAN2 reached consensus that cell-grouping is needed at least for asynchronous NR-DC, but companies had different view on whether cell-grouping is needed or not for synchronous NR-DC.</w:t>
      </w:r>
    </w:p>
    <w:p>
      <w:pPr>
        <w:rPr>
          <w:rFonts w:ascii="Times New Roman" w:hAnsi="Times New Roman" w:cs="Times New Roman"/>
          <w:iCs/>
        </w:rPr>
      </w:pPr>
    </w:p>
    <w:p>
      <w:pPr>
        <w:rPr>
          <w:rFonts w:ascii="Times New Roman" w:hAnsi="Times New Roman" w:cs="Times New Roman"/>
          <w:iCs/>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b/>
                <w:bCs/>
                <w:sz w:val="22"/>
              </w:rPr>
            </w:pPr>
            <w:r>
              <w:rPr>
                <w:rFonts w:hint="eastAsia"/>
                <w:b/>
                <w:bCs/>
                <w:sz w:val="22"/>
              </w:rPr>
              <w:t>F</w:t>
            </w:r>
            <w:r>
              <w:rPr>
                <w:b/>
                <w:bCs/>
                <w:sz w:val="22"/>
              </w:rPr>
              <w:t>or asynchronous NR-DC:</w:t>
            </w:r>
          </w:p>
          <w:p>
            <w:pPr>
              <w:pStyle w:val="114"/>
              <w:numPr>
                <w:ilvl w:val="0"/>
                <w:numId w:val="9"/>
              </w:numPr>
              <w:spacing w:before="120" w:after="0" w:line="280" w:lineRule="atLeast"/>
              <w:rPr>
                <w:rFonts w:eastAsiaTheme="minorEastAsia"/>
                <w:sz w:val="22"/>
              </w:rPr>
            </w:pPr>
            <w:r>
              <w:rPr>
                <w:rFonts w:eastAsiaTheme="minorEastAsia"/>
                <w:sz w:val="22"/>
              </w:rPr>
              <w:t>Introduce 1-bit indication on whether Rel-16 UE supports asynchronous operation and its supported cell grouping for a given band combination.</w:t>
            </w:r>
          </w:p>
          <w:p>
            <w:pPr>
              <w:pStyle w:val="114"/>
              <w:numPr>
                <w:ilvl w:val="0"/>
                <w:numId w:val="9"/>
              </w:numPr>
              <w:spacing w:before="120" w:after="0" w:line="280" w:lineRule="atLeast"/>
              <w:rPr>
                <w:rFonts w:eastAsiaTheme="minorEastAsia"/>
                <w:sz w:val="22"/>
              </w:rPr>
            </w:pPr>
            <w:r>
              <w:rPr>
                <w:rFonts w:eastAsiaTheme="minorEastAsia"/>
                <w:sz w:val="22"/>
              </w:rPr>
              <w:t>Absence of cell grouping signaling means the UE only support Rel-15 cell grouping (i.e. MCG fully in FR1 and SCG fully in FR2)</w:t>
            </w:r>
          </w:p>
          <w:p>
            <w:pPr>
              <w:pStyle w:val="114"/>
              <w:numPr>
                <w:ilvl w:val="0"/>
                <w:numId w:val="9"/>
              </w:numPr>
              <w:spacing w:before="120" w:after="0" w:line="280" w:lineRule="atLeast"/>
              <w:rPr>
                <w:rFonts w:eastAsiaTheme="minorEastAsia"/>
                <w:sz w:val="22"/>
              </w:rPr>
            </w:pPr>
            <w:r>
              <w:rPr>
                <w:rFonts w:eastAsiaTheme="minorEastAsia"/>
                <w:sz w:val="22"/>
              </w:rPr>
              <w:t>Cell grouping signaling is supported, FFS: signaling detail of cell grouping (LTE cell grouping capability can be considered)</w:t>
            </w:r>
          </w:p>
          <w:p>
            <w:pPr>
              <w:pStyle w:val="114"/>
              <w:numPr>
                <w:ilvl w:val="0"/>
                <w:numId w:val="9"/>
              </w:numPr>
              <w:spacing w:before="120" w:after="0" w:line="280" w:lineRule="atLeast"/>
              <w:rPr>
                <w:rFonts w:eastAsiaTheme="minorEastAsia"/>
                <w:sz w:val="22"/>
              </w:rPr>
            </w:pPr>
            <w:r>
              <w:rPr>
                <w:rFonts w:eastAsiaTheme="minorEastAsia"/>
                <w:sz w:val="22"/>
              </w:rPr>
              <w:t>MCG and SCG can be differentiated in cell grouping signaling (provided that we can finally agree on a signaling solution). FFS how to signal.</w:t>
            </w:r>
          </w:p>
          <w:p>
            <w:pPr>
              <w:spacing w:before="120" w:line="280" w:lineRule="atLeast"/>
              <w:rPr>
                <w:sz w:val="22"/>
              </w:rPr>
            </w:pPr>
          </w:p>
          <w:p>
            <w:pPr>
              <w:spacing w:before="120" w:line="280" w:lineRule="atLeast"/>
              <w:rPr>
                <w:b/>
                <w:bCs/>
                <w:sz w:val="22"/>
              </w:rPr>
            </w:pPr>
            <w:r>
              <w:rPr>
                <w:rFonts w:hint="eastAsia"/>
                <w:b/>
                <w:bCs/>
                <w:sz w:val="22"/>
              </w:rPr>
              <w:t>F</w:t>
            </w:r>
            <w:r>
              <w:rPr>
                <w:b/>
                <w:bCs/>
                <w:sz w:val="22"/>
              </w:rPr>
              <w:t>or synchronous NR-DC:</w:t>
            </w:r>
          </w:p>
          <w:p>
            <w:pPr>
              <w:pStyle w:val="114"/>
              <w:numPr>
                <w:ilvl w:val="0"/>
                <w:numId w:val="10"/>
              </w:numPr>
              <w:spacing w:before="120" w:after="0" w:line="280" w:lineRule="atLeast"/>
              <w:rPr>
                <w:rFonts w:eastAsiaTheme="minorEastAsia"/>
                <w:sz w:val="22"/>
              </w:rPr>
            </w:pPr>
            <w:r>
              <w:rPr>
                <w:rFonts w:eastAsiaTheme="minorEastAsia"/>
                <w:sz w:val="22"/>
              </w:rPr>
              <w:t xml:space="preserve">Capture in Rel-16 38.306 “The UE shall not report this UE capability from this release” in field description of </w:t>
            </w:r>
            <w:r>
              <w:rPr>
                <w:rFonts w:eastAsiaTheme="minorEastAsia"/>
                <w:i/>
                <w:iCs/>
                <w:sz w:val="22"/>
              </w:rPr>
              <w:t>sfn-SyncNRDC</w:t>
            </w:r>
            <w:r>
              <w:rPr>
                <w:rFonts w:eastAsiaTheme="minorEastAsia"/>
                <w:sz w:val="22"/>
              </w:rPr>
              <w:t>.</w:t>
            </w:r>
          </w:p>
          <w:p>
            <w:pPr>
              <w:pStyle w:val="114"/>
              <w:numPr>
                <w:ilvl w:val="0"/>
                <w:numId w:val="10"/>
              </w:numPr>
              <w:spacing w:before="120" w:after="0" w:line="280" w:lineRule="atLeast"/>
              <w:rPr>
                <w:rFonts w:eastAsiaTheme="minorEastAsia"/>
                <w:sz w:val="22"/>
              </w:rPr>
            </w:pPr>
            <w:r>
              <w:rPr>
                <w:rFonts w:eastAsiaTheme="minorEastAsia"/>
                <w:sz w:val="22"/>
              </w:rPr>
              <w:t>The UE shall support Rel-15 cell grouping (i.e. MCG fully in FR1 and SCG fully in FR2), for backward compatibility with Rel-15 network. No new signaling is required to be introduced for this.</w:t>
            </w:r>
          </w:p>
          <w:p>
            <w:pPr>
              <w:pStyle w:val="114"/>
              <w:numPr>
                <w:ilvl w:val="0"/>
                <w:numId w:val="10"/>
              </w:numPr>
              <w:spacing w:before="120" w:after="0" w:line="280" w:lineRule="atLeast"/>
              <w:rPr>
                <w:iCs/>
                <w:lang w:val="en-US"/>
              </w:rPr>
            </w:pPr>
            <w:r>
              <w:rPr>
                <w:rFonts w:eastAsiaTheme="minorEastAsia"/>
                <w:sz w:val="22"/>
              </w:rPr>
              <w:t>RAN2 intends to introduce a releasre-16 UE capability for sync-DC (can be 1 bit, cell grouping or else) in a future meeting. Absence of such UE capability parameter means the UE supports Rel-15 cell grouping only (i.e. MCG fully in FR1 and SCG fully in FR2).</w:t>
            </w:r>
          </w:p>
        </w:tc>
      </w:tr>
    </w:tbl>
    <w:p>
      <w:pPr>
        <w:rPr>
          <w:iCs/>
        </w:rPr>
      </w:pPr>
    </w:p>
    <w:p>
      <w:pPr>
        <w:rPr>
          <w:rFonts w:ascii="Times New Roman" w:hAnsi="Times New Roman" w:cs="Times New Roman"/>
          <w:iCs/>
        </w:rPr>
      </w:pPr>
      <w:r>
        <w:rPr>
          <w:rFonts w:ascii="Times New Roman" w:hAnsi="Times New Roman" w:cs="Times New Roman"/>
          <w:iCs/>
        </w:rPr>
        <w:t>We provide our analysis on whether cell-grouping is needed for synchronous NR-DC below.</w:t>
      </w:r>
    </w:p>
    <w:p>
      <w:pPr>
        <w:rPr>
          <w:rFonts w:ascii="Times New Roman" w:hAnsi="Times New Roman" w:cs="Times New Roman"/>
          <w:iCs/>
        </w:rPr>
      </w:pPr>
    </w:p>
    <w:p>
      <w:pPr>
        <w:rPr>
          <w:rFonts w:ascii="Times New Roman" w:hAnsi="Times New Roman" w:cs="Times New Roman"/>
          <w:b/>
          <w:bCs/>
          <w:iCs/>
          <w:u w:val="single"/>
        </w:rPr>
      </w:pPr>
      <w:r>
        <w:rPr>
          <w:rFonts w:ascii="Times New Roman" w:hAnsi="Times New Roman" w:cs="Times New Roman"/>
          <w:b/>
          <w:bCs/>
          <w:iCs/>
          <w:u w:val="single"/>
        </w:rPr>
        <w:t>Requirements comparison between synchronous NR-DC and inter-band NR CA</w:t>
      </w:r>
    </w:p>
    <w:p>
      <w:pPr>
        <w:rPr>
          <w:rFonts w:ascii="Times New Roman" w:hAnsi="Times New Roman" w:cs="Times New Roman"/>
          <w:b/>
          <w:bCs/>
          <w:iCs/>
          <w:u w:val="single"/>
        </w:rPr>
      </w:pPr>
    </w:p>
    <w:p>
      <w:pPr>
        <w:rPr>
          <w:rFonts w:hint="default" w:ascii="Times New Roman" w:hAnsi="Times New Roman" w:cs="Times New Roman" w:eastAsiaTheme="minorEastAsia"/>
          <w:iCs/>
          <w:lang w:val="en-US" w:eastAsia="zh-CN"/>
        </w:rPr>
      </w:pPr>
      <w:r>
        <w:rPr>
          <w:rFonts w:ascii="Times New Roman" w:hAnsi="Times New Roman" w:cs="Times New Roman"/>
          <w:iCs/>
        </w:rPr>
        <w:t>As summarized in the following table, the MTTD and MRTD requirements for synchronous NR-DC and inter-band NR CA are almost the same. From this perspective, it seems reasonable for UE to following what we have done for CA, i.e., reporting whether FR1/FR2 and/or TDD/FDD can be the sPCell</w:t>
      </w:r>
      <w:r>
        <w:rPr>
          <w:rFonts w:hint="eastAsia" w:ascii="Times New Roman" w:hAnsi="Times New Roman" w:cs="Times New Roman"/>
          <w:iCs/>
          <w:lang w:val="en-US" w:eastAsia="zh-CN"/>
        </w:rPr>
        <w:t xml:space="preserve"> and reporting whether FR2 cell can be PCell.</w:t>
      </w:r>
    </w:p>
    <w:p>
      <w:pPr>
        <w:rPr>
          <w:rFonts w:ascii="Times New Roman" w:hAnsi="Times New Roman" w:cs="Times New Roman"/>
          <w:iCs/>
        </w:rPr>
      </w:pPr>
    </w:p>
    <w:p>
      <w:pPr>
        <w:rPr>
          <w:rFonts w:ascii="Times New Roman" w:hAnsi="Times New Roman" w:cs="Times New Roman"/>
          <w:iCs/>
        </w:rPr>
      </w:pPr>
      <w:r>
        <w:rPr>
          <w:rFonts w:ascii="Times New Roman" w:hAnsi="Times New Roman" w:cs="Times New Roman"/>
          <w:iCs/>
        </w:rPr>
        <w:t xml:space="preserve">Since the signaling for reporting whether FR1/FR2 and/or TDD/FDD can be the sPCell </w:t>
      </w:r>
      <w:r>
        <w:rPr>
          <w:rFonts w:hint="eastAsia" w:ascii="Times New Roman" w:hAnsi="Times New Roman" w:cs="Times New Roman"/>
          <w:iCs/>
          <w:lang w:val="en-US" w:eastAsia="zh-CN"/>
        </w:rPr>
        <w:t xml:space="preserve">and reporting whether FR2 cell can be PCell </w:t>
      </w:r>
      <w:r>
        <w:rPr>
          <w:rFonts w:ascii="Times New Roman" w:hAnsi="Times New Roman" w:cs="Times New Roman"/>
          <w:iCs/>
        </w:rPr>
        <w:t xml:space="preserve">is already in place for CA, UE can already reuse this mechanism to report its supported sPCell. </w:t>
      </w:r>
    </w:p>
    <w:p>
      <w:pPr>
        <w:rPr>
          <w:rFonts w:ascii="Times New Roman" w:hAnsi="Times New Roman" w:cs="Times New Roman"/>
          <w:iCs/>
        </w:rPr>
      </w:pPr>
    </w:p>
    <w:tbl>
      <w:tblPr>
        <w:tblStyle w:val="51"/>
        <w:tblW w:w="0" w:type="auto"/>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4682"/>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pPr>
              <w:spacing w:before="120" w:line="280" w:lineRule="atLeast"/>
              <w:rPr>
                <w:iCs/>
              </w:rPr>
            </w:pPr>
          </w:p>
        </w:tc>
        <w:tc>
          <w:tcPr>
            <w:tcW w:w="4682" w:type="dxa"/>
            <w:vAlign w:val="center"/>
          </w:tcPr>
          <w:p>
            <w:pPr>
              <w:spacing w:before="120" w:line="280" w:lineRule="atLeast"/>
              <w:jc w:val="center"/>
              <w:rPr>
                <w:iCs/>
              </w:rPr>
            </w:pPr>
            <w:r>
              <w:rPr>
                <w:rFonts w:hint="eastAsia"/>
                <w:iCs/>
              </w:rPr>
              <w:t>Synchronous NR-DC</w:t>
            </w:r>
          </w:p>
        </w:tc>
        <w:tc>
          <w:tcPr>
            <w:tcW w:w="4310" w:type="dxa"/>
            <w:vAlign w:val="center"/>
          </w:tcPr>
          <w:p>
            <w:pPr>
              <w:spacing w:before="120" w:line="280" w:lineRule="atLeast"/>
              <w:jc w:val="center"/>
              <w:rPr>
                <w:iCs/>
              </w:rPr>
            </w:pPr>
            <w:r>
              <w:rPr>
                <w:rFonts w:hint="eastAsia"/>
                <w:iCs/>
              </w:rPr>
              <w:t>NR CA (Inter-band)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pPr>
              <w:spacing w:before="120" w:line="280" w:lineRule="atLeast"/>
              <w:rPr>
                <w:iCs/>
              </w:rPr>
            </w:pPr>
            <w:r>
              <w:rPr>
                <w:rFonts w:hint="eastAsia"/>
                <w:iCs/>
              </w:rPr>
              <w:t>MTTD</w:t>
            </w:r>
          </w:p>
        </w:tc>
        <w:tc>
          <w:tcPr>
            <w:tcW w:w="4682" w:type="dxa"/>
            <w:vAlign w:val="center"/>
          </w:tcPr>
          <w:p>
            <w:pPr>
              <w:spacing w:before="120" w:line="280" w:lineRule="atLeast"/>
              <w:rPr>
                <w:iCs/>
              </w:rPr>
            </w:pPr>
            <w:r>
              <w:drawing>
                <wp:inline distT="0" distB="0" distL="114300" distR="114300">
                  <wp:extent cx="2678430" cy="1125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rcRect l="14276" r="20844" b="5811"/>
                          <a:stretch>
                            <a:fillRect/>
                          </a:stretch>
                        </pic:blipFill>
                        <pic:spPr>
                          <a:xfrm>
                            <a:off x="0" y="0"/>
                            <a:ext cx="2678430" cy="1125220"/>
                          </a:xfrm>
                          <a:prstGeom prst="rect">
                            <a:avLst/>
                          </a:prstGeom>
                          <a:noFill/>
                          <a:ln>
                            <a:noFill/>
                          </a:ln>
                        </pic:spPr>
                      </pic:pic>
                    </a:graphicData>
                  </a:graphic>
                </wp:inline>
              </w:drawing>
            </w:r>
          </w:p>
        </w:tc>
        <w:tc>
          <w:tcPr>
            <w:tcW w:w="4310" w:type="dxa"/>
            <w:vAlign w:val="center"/>
          </w:tcPr>
          <w:p>
            <w:pPr>
              <w:spacing w:before="120" w:line="280" w:lineRule="atLeast"/>
              <w:rPr>
                <w:iCs/>
              </w:rPr>
            </w:pPr>
            <w:r>
              <w:drawing>
                <wp:inline distT="0" distB="0" distL="114300" distR="114300">
                  <wp:extent cx="2388235" cy="1183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rcRect l="15717" t="-1623" r="22084" b="6770"/>
                          <a:stretch>
                            <a:fillRect/>
                          </a:stretch>
                        </pic:blipFill>
                        <pic:spPr>
                          <a:xfrm>
                            <a:off x="0" y="0"/>
                            <a:ext cx="2388235" cy="118300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pPr>
              <w:spacing w:before="120" w:line="280" w:lineRule="atLeast"/>
              <w:rPr>
                <w:iCs/>
              </w:rPr>
            </w:pPr>
            <w:r>
              <w:rPr>
                <w:rFonts w:hint="eastAsia"/>
                <w:iCs/>
              </w:rPr>
              <w:t>MRTD</w:t>
            </w:r>
          </w:p>
        </w:tc>
        <w:tc>
          <w:tcPr>
            <w:tcW w:w="4682" w:type="dxa"/>
            <w:vAlign w:val="center"/>
          </w:tcPr>
          <w:p>
            <w:pPr>
              <w:spacing w:before="120" w:line="280" w:lineRule="atLeast"/>
              <w:rPr>
                <w:iCs/>
              </w:rPr>
            </w:pPr>
            <w:r>
              <w:drawing>
                <wp:inline distT="0" distB="0" distL="114300" distR="114300">
                  <wp:extent cx="2810510" cy="11931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rcRect l="14420" r="21373" b="5814"/>
                          <a:stretch>
                            <a:fillRect/>
                          </a:stretch>
                        </pic:blipFill>
                        <pic:spPr>
                          <a:xfrm>
                            <a:off x="0" y="0"/>
                            <a:ext cx="2810510" cy="1193165"/>
                          </a:xfrm>
                          <a:prstGeom prst="rect">
                            <a:avLst/>
                          </a:prstGeom>
                          <a:noFill/>
                          <a:ln>
                            <a:noFill/>
                          </a:ln>
                        </pic:spPr>
                      </pic:pic>
                    </a:graphicData>
                  </a:graphic>
                </wp:inline>
              </w:drawing>
            </w:r>
          </w:p>
        </w:tc>
        <w:tc>
          <w:tcPr>
            <w:tcW w:w="4310" w:type="dxa"/>
            <w:vAlign w:val="center"/>
          </w:tcPr>
          <w:p>
            <w:pPr>
              <w:spacing w:before="120" w:line="280" w:lineRule="atLeast"/>
              <w:rPr>
                <w:iCs/>
              </w:rPr>
            </w:pPr>
            <w:r>
              <w:drawing>
                <wp:inline distT="0" distB="0" distL="114300" distR="114300">
                  <wp:extent cx="2538095" cy="1250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rcRect l="14142" r="19917"/>
                          <a:stretch>
                            <a:fillRect/>
                          </a:stretch>
                        </pic:blipFill>
                        <pic:spPr>
                          <a:xfrm>
                            <a:off x="0" y="0"/>
                            <a:ext cx="2538095" cy="1250950"/>
                          </a:xfrm>
                          <a:prstGeom prst="rect">
                            <a:avLst/>
                          </a:prstGeom>
                          <a:noFill/>
                          <a:ln>
                            <a:noFill/>
                          </a:ln>
                        </pic:spPr>
                      </pic:pic>
                    </a:graphicData>
                  </a:graphic>
                </wp:inline>
              </w:drawing>
            </w:r>
          </w:p>
        </w:tc>
      </w:tr>
    </w:tbl>
    <w:p>
      <w:pPr>
        <w:rPr>
          <w:iCs/>
        </w:rPr>
      </w:pPr>
    </w:p>
    <w:p>
      <w:pPr>
        <w:rPr>
          <w:iCs/>
        </w:rPr>
      </w:pPr>
      <w:r>
        <w:rPr>
          <w:rFonts w:hint="eastAsia"/>
          <w:b/>
          <w:bCs/>
          <w:iCs/>
          <w:u w:val="single"/>
        </w:rPr>
        <w:t>Operation comparison between synchronous NR-DC and inter-band NR CA from RAN1 perspective</w:t>
      </w:r>
    </w:p>
    <w:p>
      <w:pPr>
        <w:rPr>
          <w:rFonts w:ascii="Times New Roman" w:hAnsi="Times New Roman" w:cs="Times New Roman"/>
          <w:iCs/>
        </w:rPr>
      </w:pPr>
      <w:r>
        <w:rPr>
          <w:rFonts w:ascii="Times New Roman" w:hAnsi="Times New Roman" w:cs="Times New Roman"/>
          <w:iCs/>
        </w:rPr>
        <w:t xml:space="preserve">From RAN1 perspective, most of the operations of synchronous NR-DC and inter-band NR CA (with two PUCCH groups) are almost the same except for power sharing for NR-DC, which is specific to NR-DC. </w:t>
      </w:r>
    </w:p>
    <w:p>
      <w:pPr>
        <w:rPr>
          <w:rFonts w:ascii="Times New Roman" w:hAnsi="Times New Roman" w:cs="Times New Roman"/>
          <w:iCs/>
        </w:rPr>
      </w:pPr>
    </w:p>
    <w:p>
      <w:pPr>
        <w:rPr>
          <w:rFonts w:hint="eastAsia" w:ascii="Times New Roman" w:hAnsi="Times New Roman" w:cs="Times New Roman"/>
          <w:iCs/>
        </w:rPr>
      </w:pPr>
    </w:p>
    <w:p>
      <w:pPr>
        <w:rPr>
          <w:rFonts w:ascii="Times New Roman" w:hAnsi="Times New Roman" w:cs="Times New Roman"/>
          <w:iCs/>
        </w:rPr>
      </w:pPr>
      <w:r>
        <w:rPr>
          <w:rFonts w:ascii="Times New Roman" w:hAnsi="Times New Roman" w:cs="Times New Roman"/>
          <w:iCs/>
        </w:rPr>
        <w:t xml:space="preserve">Based on the above analysis, it seems that both the RAN4 requirements and RAN1 operation are almost the same for synchronous NR-DC and inter-band NR CA. It makes sense to reuse the same mechanism of NR CA for NR-DC, i.e., UE reports whether sPCell should be in FR1 FDD band, FR1 TDD band or FR2 TDD band in different cases. From our perspective, it seems unnecessary to introduce cell-grouping for synchronous NR-DC on top of the current sPCell reporting mechanism for NR CA. </w:t>
      </w:r>
    </w:p>
    <w:p>
      <w:pPr>
        <w:rPr>
          <w:rFonts w:ascii="Times New Roman" w:hAnsi="Times New Roman" w:cs="Times New Roman"/>
          <w:iCs/>
        </w:rPr>
      </w:pPr>
    </w:p>
    <w:p>
      <w:pPr>
        <w:rPr>
          <w:rFonts w:ascii="Times New Roman" w:hAnsi="Times New Roman" w:cs="Times New Roman"/>
          <w:i/>
        </w:rPr>
      </w:pPr>
      <w:r>
        <w:rPr>
          <w:rFonts w:ascii="Times New Roman" w:hAnsi="Times New Roman" w:cs="Times New Roman"/>
          <w:b/>
          <w:bCs/>
          <w:i/>
        </w:rPr>
        <w:t>Proposal 1</w:t>
      </w:r>
      <w:r>
        <w:rPr>
          <w:rFonts w:ascii="Times New Roman" w:hAnsi="Times New Roman" w:cs="Times New Roman"/>
          <w:i/>
        </w:rPr>
        <w:t>: Cell-grouping for synchronous NR-DC is NOT introduced.</w:t>
      </w:r>
      <w:bookmarkStart w:id="3" w:name="_GoBack"/>
      <w:bookmarkEnd w:id="3"/>
    </w:p>
    <w:p>
      <w:pPr>
        <w:rPr>
          <w:i/>
        </w:rPr>
      </w:pPr>
    </w:p>
    <w:p>
      <w:pPr>
        <w:rPr>
          <w:rFonts w:ascii="Times New Roman" w:hAnsi="Times New Roman" w:cs="Times New Roman"/>
          <w:iCs/>
        </w:rPr>
      </w:pPr>
      <w:r>
        <w:rPr>
          <w:rFonts w:ascii="Times New Roman" w:hAnsi="Times New Roman" w:cs="Times New Roman"/>
          <w:iCs/>
        </w:rPr>
        <w:t>With the above proposal, we would like to reply the RAN2 LS as below.</w:t>
      </w:r>
    </w:p>
    <w:p>
      <w:pPr>
        <w:rPr>
          <w:rFonts w:ascii="Times New Roman" w:hAnsi="Times New Roman" w:cs="Times New Roman"/>
          <w:iCs/>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iCs/>
              </w:rPr>
            </w:pPr>
            <w:r>
              <w:rPr>
                <w:rFonts w:hint="eastAsia"/>
                <w:iCs/>
              </w:rPr>
              <w:t>RAN1 would like to thank RAN2 for the LS (R1-2007525/R2-2008662) on cell-grouping UE capability for synchronous NR-DC.</w:t>
            </w:r>
          </w:p>
          <w:p>
            <w:pPr>
              <w:spacing w:before="120" w:line="280" w:lineRule="atLeast"/>
              <w:rPr>
                <w:i/>
              </w:rPr>
            </w:pPr>
            <w:r>
              <w:rPr>
                <w:rFonts w:hint="eastAsia"/>
                <w:iCs/>
              </w:rPr>
              <w:t xml:space="preserve">From our perspective, it seems unnecessary to introduce cell-grouping for synchronous NR-DC on top of the current sPCell reporting mechanism for NR CA. </w:t>
            </w:r>
          </w:p>
        </w:tc>
      </w:tr>
    </w:tbl>
    <w:p>
      <w:pPr>
        <w:rPr>
          <w:i/>
        </w:rPr>
      </w:pPr>
    </w:p>
    <w:p>
      <w:pPr>
        <w:pStyle w:val="2"/>
        <w:rPr>
          <w:lang w:eastAsia="zh-CN"/>
        </w:rPr>
      </w:pPr>
      <w:r>
        <w:rPr>
          <w:rFonts w:hint="eastAsia"/>
          <w:lang w:eastAsia="zh-CN"/>
        </w:rPr>
        <w:t>C</w:t>
      </w:r>
      <w:r>
        <w:rPr>
          <w:lang w:eastAsia="zh-CN"/>
        </w:rPr>
        <w:t>onclusion</w:t>
      </w:r>
    </w:p>
    <w:p>
      <w:pPr>
        <w:rPr>
          <w:rFonts w:ascii="Times New Roman" w:hAnsi="Times New Roman" w:cs="Times New Roman"/>
        </w:rPr>
      </w:pPr>
      <w:r>
        <w:rPr>
          <w:rFonts w:ascii="Times New Roman" w:hAnsi="Times New Roman" w:cs="Times New Roman"/>
        </w:rPr>
        <w:t>In this contribution, we provide our analysis on cell-grouping UE capability for synchronous NR-DC with the following proposal.</w:t>
      </w:r>
    </w:p>
    <w:p>
      <w:pPr>
        <w:rPr>
          <w:rFonts w:ascii="Times New Roman" w:hAnsi="Times New Roman" w:cs="Times New Roman"/>
        </w:rPr>
      </w:pPr>
    </w:p>
    <w:p>
      <w:pPr>
        <w:rPr>
          <w:rFonts w:ascii="Times New Roman" w:hAnsi="Times New Roman" w:cs="Times New Roman"/>
          <w:i/>
        </w:rPr>
      </w:pPr>
      <w:r>
        <w:rPr>
          <w:rFonts w:ascii="Times New Roman" w:hAnsi="Times New Roman" w:cs="Times New Roman"/>
          <w:b/>
          <w:bCs/>
          <w:i/>
        </w:rPr>
        <w:t>Proposal 1</w:t>
      </w:r>
      <w:r>
        <w:rPr>
          <w:rFonts w:ascii="Times New Roman" w:hAnsi="Times New Roman" w:cs="Times New Roman"/>
          <w:i/>
        </w:rPr>
        <w:t>: Cell-grouping for synchronous NR-DC is NOT introduced.</w:t>
      </w:r>
    </w:p>
    <w:p>
      <w:pPr>
        <w:rPr>
          <w:rFonts w:ascii="Times New Roman" w:hAnsi="Times New Roman" w:cs="Times New Roman"/>
          <w:iCs/>
        </w:rPr>
      </w:pPr>
    </w:p>
    <w:p>
      <w:pPr>
        <w:rPr>
          <w:rFonts w:ascii="Times New Roman" w:hAnsi="Times New Roman" w:cs="Times New Roman"/>
          <w:iCs/>
        </w:rPr>
      </w:pPr>
      <w:r>
        <w:rPr>
          <w:rFonts w:ascii="Times New Roman" w:hAnsi="Times New Roman" w:cs="Times New Roman"/>
          <w:iCs/>
        </w:rPr>
        <w:t>With the above proposal, we would like to reply the RAN2 LS as below.</w:t>
      </w:r>
    </w:p>
    <w:p>
      <w:pPr>
        <w:rPr>
          <w:rFonts w:ascii="Times New Roman" w:hAnsi="Times New Roman" w:cs="Times New Roman"/>
          <w:iCs/>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iCs/>
              </w:rPr>
            </w:pPr>
            <w:r>
              <w:rPr>
                <w:rFonts w:hint="eastAsia"/>
                <w:iCs/>
              </w:rPr>
              <w:t>RAN1 would like to thank RAN2 for the LS (R1-2007525/R2-2008662) on cell-grouping UE capability for synchronous NR-DC.</w:t>
            </w:r>
          </w:p>
          <w:p>
            <w:pPr>
              <w:spacing w:before="120" w:line="280" w:lineRule="atLeast"/>
              <w:rPr>
                <w:i/>
              </w:rPr>
            </w:pPr>
            <w:r>
              <w:rPr>
                <w:rFonts w:hint="eastAsia"/>
                <w:iCs/>
              </w:rPr>
              <w:t xml:space="preserve">From our perspective, it seems unnecessary to introduce cell-grouping for synchronous NR-DC on top of the current sPCell reporting mechanism for NR CA. </w:t>
            </w:r>
          </w:p>
        </w:tc>
      </w:tr>
    </w:tbl>
    <w:p>
      <w:pPr>
        <w:rPr>
          <w:lang w:val="en-GB"/>
        </w:rPr>
      </w:pPr>
    </w:p>
    <w:p>
      <w:pPr>
        <w:pStyle w:val="2"/>
        <w:rPr>
          <w:lang w:eastAsia="zh-CN"/>
        </w:rPr>
      </w:pPr>
      <w:r>
        <w:rPr>
          <w:rFonts w:hint="eastAsia"/>
          <w:lang w:eastAsia="zh-CN"/>
        </w:rPr>
        <w:t>R</w:t>
      </w:r>
      <w:r>
        <w:rPr>
          <w:lang w:eastAsia="zh-CN"/>
        </w:rPr>
        <w:t>eference</w:t>
      </w:r>
    </w:p>
    <w:p>
      <w:pPr>
        <w:pStyle w:val="126"/>
        <w:rPr>
          <w:rFonts w:ascii="Times New Roman" w:hAnsi="Times New Roman" w:cs="Times New Roman"/>
        </w:rPr>
      </w:pPr>
      <w:r>
        <w:rPr>
          <w:rFonts w:ascii="Times New Roman" w:hAnsi="Times New Roman" w:cs="Times New Roman"/>
        </w:rPr>
        <w:t>R2-2008662, LS on cell-grouping UE capability for synchronous NR-DC, RAN2#111e.</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716"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3E4F237B"/>
    <w:multiLevelType w:val="multilevel"/>
    <w:tmpl w:val="3E4F237B"/>
    <w:lvl w:ilvl="0" w:tentative="0">
      <w:start w:val="1"/>
      <w:numFmt w:val="bullet"/>
      <w:lvlText w:val="•"/>
      <w:lvlJc w:val="left"/>
      <w:pPr>
        <w:tabs>
          <w:tab w:val="left" w:pos="420"/>
        </w:tabs>
        <w:ind w:left="840" w:hanging="420"/>
      </w:pPr>
      <w:rPr>
        <w:rFonts w:hint="default" w:ascii="Arial" w:hAnsi="Arial"/>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5">
    <w:nsid w:val="5AED07FF"/>
    <w:multiLevelType w:val="multilevel"/>
    <w:tmpl w:val="5AED07FF"/>
    <w:lvl w:ilvl="0" w:tentative="0">
      <w:start w:val="1"/>
      <w:numFmt w:val="bullet"/>
      <w:lvlText w:val="•"/>
      <w:lvlJc w:val="left"/>
      <w:pPr>
        <w:tabs>
          <w:tab w:val="left" w:pos="420"/>
        </w:tabs>
        <w:ind w:left="840" w:hanging="420"/>
      </w:pPr>
      <w:rPr>
        <w:rFonts w:hint="default" w:ascii="Arial" w:hAnsi="Arial"/>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7"/>
  </w:num>
  <w:num w:numId="4">
    <w:abstractNumId w:val="3"/>
  </w:num>
  <w:num w:numId="5">
    <w:abstractNumId w:val="9"/>
  </w:num>
  <w:num w:numId="6">
    <w:abstractNumId w:val="6"/>
  </w:num>
  <w:num w:numId="7">
    <w:abstractNumId w:val="2"/>
  </w:num>
  <w:num w:numId="8">
    <w:abstractNumId w:val="8"/>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13D"/>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504"/>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3CB"/>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15B"/>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4C"/>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888"/>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27"/>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44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3F"/>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18A"/>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181"/>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3FF0"/>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3F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C81"/>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0"/>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6F5F"/>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B66"/>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56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5FF4"/>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A95"/>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0EE"/>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3C83"/>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85"/>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495"/>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5B2"/>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380"/>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C92"/>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64A"/>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6680"/>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29"/>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1E4"/>
    <w:rsid w:val="00ED54F7"/>
    <w:rsid w:val="00ED5580"/>
    <w:rsid w:val="00ED58F2"/>
    <w:rsid w:val="00ED6100"/>
    <w:rsid w:val="00ED6B0C"/>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95A"/>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27FFD"/>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C8C"/>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BE1"/>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C449B7"/>
    <w:rsid w:val="03F94E83"/>
    <w:rsid w:val="03FC4856"/>
    <w:rsid w:val="067D4C1C"/>
    <w:rsid w:val="06B127E5"/>
    <w:rsid w:val="06B26CBD"/>
    <w:rsid w:val="072F2729"/>
    <w:rsid w:val="07C21FA9"/>
    <w:rsid w:val="0957797D"/>
    <w:rsid w:val="0972706B"/>
    <w:rsid w:val="09C21BB6"/>
    <w:rsid w:val="0A867EAB"/>
    <w:rsid w:val="0AFC60B7"/>
    <w:rsid w:val="0BAD7041"/>
    <w:rsid w:val="0C6F5654"/>
    <w:rsid w:val="0D132BA9"/>
    <w:rsid w:val="0D660AC2"/>
    <w:rsid w:val="0D672BF6"/>
    <w:rsid w:val="0E055DF6"/>
    <w:rsid w:val="0E120AD5"/>
    <w:rsid w:val="0EB06FFE"/>
    <w:rsid w:val="10150A41"/>
    <w:rsid w:val="1257267A"/>
    <w:rsid w:val="12A472D8"/>
    <w:rsid w:val="12FE321B"/>
    <w:rsid w:val="130859B8"/>
    <w:rsid w:val="141F2191"/>
    <w:rsid w:val="1575AEB2"/>
    <w:rsid w:val="164F7F6D"/>
    <w:rsid w:val="165E068A"/>
    <w:rsid w:val="1702D3F2"/>
    <w:rsid w:val="18577FCF"/>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6B26C6B"/>
    <w:rsid w:val="27992CC8"/>
    <w:rsid w:val="27C5366D"/>
    <w:rsid w:val="27DD67CA"/>
    <w:rsid w:val="27E71AB0"/>
    <w:rsid w:val="28690808"/>
    <w:rsid w:val="28B07E55"/>
    <w:rsid w:val="28B54AA2"/>
    <w:rsid w:val="294D6347"/>
    <w:rsid w:val="2A0F0B23"/>
    <w:rsid w:val="2AE67AFE"/>
    <w:rsid w:val="2AFE2B7E"/>
    <w:rsid w:val="2C940975"/>
    <w:rsid w:val="2D376513"/>
    <w:rsid w:val="2DC863F1"/>
    <w:rsid w:val="2E2C199F"/>
    <w:rsid w:val="2EB72406"/>
    <w:rsid w:val="2F2367DE"/>
    <w:rsid w:val="31542D3B"/>
    <w:rsid w:val="32832752"/>
    <w:rsid w:val="32FE23BF"/>
    <w:rsid w:val="330E6893"/>
    <w:rsid w:val="336B73D2"/>
    <w:rsid w:val="33DE0CB9"/>
    <w:rsid w:val="3511129D"/>
    <w:rsid w:val="35705ADD"/>
    <w:rsid w:val="359455FE"/>
    <w:rsid w:val="362B1D10"/>
    <w:rsid w:val="36CD07B0"/>
    <w:rsid w:val="375A2D02"/>
    <w:rsid w:val="375C57D7"/>
    <w:rsid w:val="3762338E"/>
    <w:rsid w:val="37DD651E"/>
    <w:rsid w:val="38BA113F"/>
    <w:rsid w:val="3A135075"/>
    <w:rsid w:val="3A8424B5"/>
    <w:rsid w:val="3AB31D0C"/>
    <w:rsid w:val="3B4A3B53"/>
    <w:rsid w:val="3BF47021"/>
    <w:rsid w:val="3C923082"/>
    <w:rsid w:val="3D0354C7"/>
    <w:rsid w:val="3D7642C9"/>
    <w:rsid w:val="3DBB1B39"/>
    <w:rsid w:val="3DDA6D42"/>
    <w:rsid w:val="3E7347F4"/>
    <w:rsid w:val="3EF83C43"/>
    <w:rsid w:val="3F01664D"/>
    <w:rsid w:val="3F175FC8"/>
    <w:rsid w:val="3F4A067F"/>
    <w:rsid w:val="3F602616"/>
    <w:rsid w:val="3FD010A5"/>
    <w:rsid w:val="40850DCD"/>
    <w:rsid w:val="41AC1D9C"/>
    <w:rsid w:val="4242619A"/>
    <w:rsid w:val="42B20782"/>
    <w:rsid w:val="43533574"/>
    <w:rsid w:val="44917C93"/>
    <w:rsid w:val="468571DE"/>
    <w:rsid w:val="46D41E44"/>
    <w:rsid w:val="47AE2F53"/>
    <w:rsid w:val="493B5813"/>
    <w:rsid w:val="49446ABC"/>
    <w:rsid w:val="496938E0"/>
    <w:rsid w:val="49882B35"/>
    <w:rsid w:val="4B3872E6"/>
    <w:rsid w:val="4B7E41E4"/>
    <w:rsid w:val="4BC1711E"/>
    <w:rsid w:val="4CA149AE"/>
    <w:rsid w:val="4CF53F55"/>
    <w:rsid w:val="4DF51404"/>
    <w:rsid w:val="4E5633F4"/>
    <w:rsid w:val="4E7740D9"/>
    <w:rsid w:val="4EAC0AFF"/>
    <w:rsid w:val="4EC2021D"/>
    <w:rsid w:val="50FD13B2"/>
    <w:rsid w:val="52185E8A"/>
    <w:rsid w:val="52FE30BB"/>
    <w:rsid w:val="536E79E7"/>
    <w:rsid w:val="53BB77B0"/>
    <w:rsid w:val="544A7280"/>
    <w:rsid w:val="54CE2507"/>
    <w:rsid w:val="55181CD2"/>
    <w:rsid w:val="55D01D97"/>
    <w:rsid w:val="57244B18"/>
    <w:rsid w:val="57EF6871"/>
    <w:rsid w:val="58240039"/>
    <w:rsid w:val="595A121E"/>
    <w:rsid w:val="59C75644"/>
    <w:rsid w:val="5AF07FF7"/>
    <w:rsid w:val="5AF422E5"/>
    <w:rsid w:val="5BF26431"/>
    <w:rsid w:val="5CF3521C"/>
    <w:rsid w:val="5E780DEA"/>
    <w:rsid w:val="5E9036AD"/>
    <w:rsid w:val="5F631FA8"/>
    <w:rsid w:val="624B7DE0"/>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DE0AB5"/>
    <w:rsid w:val="76EB5B39"/>
    <w:rsid w:val="776F4F23"/>
    <w:rsid w:val="78156E78"/>
    <w:rsid w:val="782D5EAF"/>
    <w:rsid w:val="786302A1"/>
    <w:rsid w:val="789F1175"/>
    <w:rsid w:val="7931734A"/>
    <w:rsid w:val="7ABC3D82"/>
    <w:rsid w:val="7ADB38D4"/>
    <w:rsid w:val="7D97275C"/>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ind w:left="431" w:hanging="431"/>
      <w:textAlignment w:val="baseline"/>
      <w:outlineLvl w:val="0"/>
    </w:pPr>
    <w:rPr>
      <w:rFonts w:ascii="Arial" w:hAnsi="Arial" w:eastAsia="宋体" w:cstheme="minorBidi"/>
      <w:kern w:val="2"/>
      <w:sz w:val="36"/>
      <w:szCs w:val="22"/>
      <w:lang w:val="en-GB" w:eastAsia="en-US" w:bidi="ar-SA"/>
    </w:rPr>
  </w:style>
  <w:style w:type="paragraph" w:styleId="3">
    <w:name w:val="heading 2"/>
    <w:basedOn w:val="2"/>
    <w:next w:val="1"/>
    <w:link w:val="105"/>
    <w:qFormat/>
    <w:uiPriority w:val="0"/>
    <w:pPr>
      <w:numPr>
        <w:numId w:val="0"/>
      </w:numPr>
      <w:pBdr>
        <w:top w:val="none" w:color="auto" w:sz="0" w:space="0"/>
      </w:pBdr>
      <w:spacing w:before="180"/>
      <w:ind w:left="576" w:hanging="576"/>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numId w:val="0"/>
      </w:numPr>
      <w:ind w:left="1440" w:hanging="144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link w:val="158"/>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pPr>
    <w:rPr>
      <w:rFonts w:ascii="Arial" w:hAnsi="Arial"/>
      <w:sz w:val="22"/>
    </w:rPr>
  </w:style>
  <w:style w:type="paragraph" w:styleId="46">
    <w:name w:val="Normal (Web)"/>
    <w:basedOn w:val="1"/>
    <w:unhideWhenUsed/>
    <w:qFormat/>
    <w:uiPriority w:val="99"/>
    <w:pPr>
      <w:spacing w:before="100" w:beforeAutospacing="1" w:after="100" w:afterAutospacing="1"/>
    </w:pPr>
    <w:rPr>
      <w:sz w:val="24"/>
      <w:szCs w:val="24"/>
    </w:rPr>
  </w:style>
  <w:style w:type="paragraph" w:styleId="47">
    <w:name w:val="index 1"/>
    <w:basedOn w:val="1"/>
    <w:next w:val="1"/>
    <w:semiHidden/>
    <w:qFormat/>
    <w:uiPriority w:val="0"/>
    <w:pPr>
      <w:keepLines/>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style>
  <w:style w:type="paragraph" w:customStyle="1" w:styleId="73">
    <w:name w:val="EW"/>
    <w:basedOn w:val="69"/>
    <w:qFormat/>
    <w:uiPriority w:val="0"/>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rPr>
  </w:style>
  <w:style w:type="paragraph" w:customStyle="1" w:styleId="96">
    <w:name w:val="Equation"/>
    <w:basedOn w:val="1"/>
    <w:next w:val="1"/>
    <w:qFormat/>
    <w:uiPriority w:val="0"/>
    <w:pPr>
      <w:tabs>
        <w:tab w:val="right" w:pos="10206"/>
      </w:tabs>
      <w:spacing w:after="220"/>
      <w:ind w:left="1298"/>
    </w:pPr>
    <w:rPr>
      <w:rFonts w:ascii="Arial" w:hAnsi="Arial"/>
      <w:sz w:val="22"/>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basedOn w:val="52"/>
    <w:qFormat/>
    <w:uiPriority w:val="9"/>
    <w:rPr>
      <w:b/>
      <w:bCs/>
      <w:kern w:val="44"/>
      <w:sz w:val="44"/>
      <w:szCs w:val="44"/>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cstheme="minorBidi"/>
      <w:kern w:val="2"/>
      <w:sz w:val="36"/>
      <w:szCs w:val="22"/>
      <w:lang w:val="en-GB" w:eastAsia="en-US"/>
    </w:rPr>
  </w:style>
  <w:style w:type="character" w:customStyle="1" w:styleId="105">
    <w:name w:val="Heading 2 Char"/>
    <w:link w:val="3"/>
    <w:qFormat/>
    <w:uiPriority w:val="0"/>
    <w:rPr>
      <w:rFonts w:ascii="Arial" w:hAnsi="Arial" w:cstheme="minorBidi"/>
      <w:kern w:val="2"/>
      <w:sz w:val="32"/>
      <w:szCs w:val="22"/>
      <w:lang w:val="en-GB" w:eastAsia="en-US"/>
    </w:rPr>
  </w:style>
  <w:style w:type="character" w:customStyle="1" w:styleId="106">
    <w:name w:val="Heading 3 Char"/>
    <w:link w:val="4"/>
    <w:qFormat/>
    <w:uiPriority w:val="0"/>
    <w:rPr>
      <w:rFonts w:ascii="Arial" w:hAnsi="Arial" w:cstheme="minorBidi"/>
      <w:kern w:val="2"/>
      <w:sz w:val="28"/>
      <w:szCs w:val="22"/>
      <w:lang w:val="en-GB" w:eastAsia="en-US"/>
    </w:rPr>
  </w:style>
  <w:style w:type="character" w:customStyle="1" w:styleId="107">
    <w:name w:val="Heading 4 Char"/>
    <w:link w:val="5"/>
    <w:qFormat/>
    <w:uiPriority w:val="0"/>
    <w:rPr>
      <w:rFonts w:ascii="Arial" w:hAnsi="Arial" w:cstheme="minorBidi"/>
      <w:kern w:val="2"/>
      <w:sz w:val="24"/>
      <w:szCs w:val="22"/>
      <w:lang w:val="en-GB" w:eastAsia="en-US"/>
    </w:rPr>
  </w:style>
  <w:style w:type="character" w:customStyle="1" w:styleId="108">
    <w:name w:val="Heading 5 Char"/>
    <w:link w:val="6"/>
    <w:qFormat/>
    <w:uiPriority w:val="0"/>
    <w:rPr>
      <w:rFonts w:ascii="Arial" w:hAnsi="Arial" w:cstheme="minorBidi"/>
      <w:kern w:val="2"/>
      <w:sz w:val="22"/>
      <w:szCs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spacing w:after="120"/>
    </w:pPr>
    <w:rPr>
      <w:rFonts w:eastAsia="Calibri"/>
      <w:lang w:val="en-GB"/>
    </w:rPr>
  </w:style>
  <w:style w:type="paragraph" w:customStyle="1" w:styleId="115">
    <w:name w:val="Reference"/>
    <w:basedOn w:val="69"/>
    <w:qFormat/>
    <w:uiPriority w:val="0"/>
    <w:pPr>
      <w:tabs>
        <w:tab w:val="left" w:pos="360"/>
      </w:tabs>
      <w:suppressAutoHyphens/>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snapToGrid w:val="0"/>
      <w:spacing w:afterLines="50" w:line="264" w:lineRule="auto"/>
    </w:pPr>
    <w:rPr>
      <w:rFonts w:eastAsia="Batang"/>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snapToGrid w:val="0"/>
      <w:spacing w:after="60"/>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character" w:customStyle="1" w:styleId="158">
    <w:name w:val="Header Char"/>
    <w:basedOn w:val="52"/>
    <w:link w:val="38"/>
    <w:qFormat/>
    <w:locked/>
    <w:uiPriority w:val="0"/>
    <w:rPr>
      <w:rFonts w:ascii="Arial" w:hAnsi="Arial" w:eastAsia="宋体"/>
      <w:b/>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D69A8335-9B11-457B-AB19-7ECE849D719A}">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3</Pages>
  <Words>982</Words>
  <Characters>5602</Characters>
  <Lines>46</Lines>
  <Paragraphs>13</Paragraphs>
  <TotalTime>2</TotalTime>
  <ScaleCrop>false</ScaleCrop>
  <LinksUpToDate>false</LinksUpToDate>
  <CharactersWithSpaces>6571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2020-08-06T17:15:00Z</dcterms:created>
  <dc:creator>ZTE Corporation</dc:creator>
  <cp:lastModifiedBy>ZTE</cp:lastModifiedBy>
  <cp:lastPrinted>2018-04-07T03:05:00Z</cp:lastPrinted>
  <dcterms:modified xsi:type="dcterms:W3CDTF">2020-10-14T02:02:13Z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